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Heading1"/>
        <w:spacing w:before="0" w:after="60"/>
      </w:pPr>
      <w:r>
        <w:rPr>
          <w:b/>
          <w:sz w:val="32"/>
        </w:rPr>
        <w:t xml:space="preserve">MTP admission register — working layout for Form III</w:t>
      </w:r>
    </w:p>
    <w:p>
      <w:pPr>
        <w:spacing w:before="0" w:after="160"/>
      </w:pPr>
      <w:r>
        <w:rPr>
          <w:sz w:val="18"/>
          <w:color w:val="8A7F7B"/>
        </w:rPr>
        <w:t xml:space="preserve">Maintained at the approved place, one serial number per termination. Use the serial number, not the woman's name, wherever the Rules require confidentiality. Confirm column wording against the current MTP Rules; this layout is for day-to-day maintenance.</w:t>
      </w:r>
    </w:p>
    <w:p>
      <w:pPr>
        <w:pStyle w:val="Heading2"/>
        <w:spacing w:before="200" w:after="80"/>
      </w:pPr>
      <w:r>
        <w:rPr>
          <w:b/>
          <w:sz w:val="24"/>
        </w:rPr>
        <w:t xml:space="preserve">Register</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80" w:type="dxa"/>
          <w:right w:w="80" w:type="dxa"/>
        </w:tblCellMar>
      </w:tblPr>
      <w:tblGrid>
        <w:gridCol w:w="668"/>
        <w:gridCol w:w="668"/>
        <w:gridCol w:w="668"/>
        <w:gridCol w:w="668"/>
        <w:gridCol w:w="668"/>
        <w:gridCol w:w="668"/>
        <w:gridCol w:w="668"/>
        <w:gridCol w:w="668"/>
        <w:gridCol w:w="668"/>
        <w:gridCol w:w="668"/>
        <w:gridCol w:w="668"/>
        <w:gridCol w:w="668"/>
        <w:gridCol w:w="668"/>
        <w:gridCol w:w="668"/>
      </w:tblGrid>
      <w:tr>
        <w:tc>
          <w:tcPr>
            <w:tcW w:w="668" w:type="dxa"/>
            <w:shd w:val="clear" w:color="auto" w:fill="F3EEEC"/>
          </w:tcPr>
          <w:p>
            <w:pPr>
              <w:spacing w:before="0" w:after="40"/>
            </w:pPr>
            <w:r>
              <w:rPr>
                <w:b/>
                <w:sz w:val="18"/>
              </w:rPr>
              <w:t xml:space="preserve">Sl. no.</w:t>
            </w:r>
          </w:p>
        </w:tc>
        <w:tc>
          <w:tcPr>
            <w:tcW w:w="668" w:type="dxa"/>
            <w:shd w:val="clear" w:color="auto" w:fill="F3EEEC"/>
          </w:tcPr>
          <w:p>
            <w:pPr>
              <w:spacing w:before="0" w:after="40"/>
            </w:pPr>
            <w:r>
              <w:rPr>
                <w:b/>
                <w:sz w:val="18"/>
              </w:rPr>
              <w:t xml:space="preserve">Date of admission</w:t>
            </w:r>
          </w:p>
        </w:tc>
        <w:tc>
          <w:tcPr>
            <w:tcW w:w="668" w:type="dxa"/>
            <w:shd w:val="clear" w:color="auto" w:fill="F3EEEC"/>
          </w:tcPr>
          <w:p>
            <w:pPr>
              <w:spacing w:before="0" w:after="40"/>
            </w:pPr>
            <w:r>
              <w:rPr>
                <w:b/>
                <w:sz w:val="18"/>
              </w:rPr>
              <w:t xml:space="preserve">Name (kept confidential — see Rules)</w:t>
            </w:r>
          </w:p>
        </w:tc>
        <w:tc>
          <w:tcPr>
            <w:tcW w:w="668" w:type="dxa"/>
            <w:shd w:val="clear" w:color="auto" w:fill="F3EEEC"/>
          </w:tcPr>
          <w:p>
            <w:pPr>
              <w:spacing w:before="0" w:after="40"/>
            </w:pPr>
            <w:r>
              <w:rPr>
                <w:b/>
                <w:sz w:val="18"/>
              </w:rPr>
              <w:t xml:space="preserve">Age</w:t>
            </w:r>
          </w:p>
        </w:tc>
        <w:tc>
          <w:tcPr>
            <w:tcW w:w="668" w:type="dxa"/>
            <w:shd w:val="clear" w:color="auto" w:fill="F3EEEC"/>
          </w:tcPr>
          <w:p>
            <w:pPr>
              <w:spacing w:before="0" w:after="40"/>
            </w:pPr>
            <w:r>
              <w:rPr>
                <w:b/>
                <w:sz w:val="18"/>
              </w:rPr>
              <w:t xml:space="preserve">Address</w:t>
            </w:r>
          </w:p>
        </w:tc>
        <w:tc>
          <w:tcPr>
            <w:tcW w:w="668" w:type="dxa"/>
            <w:shd w:val="clear" w:color="auto" w:fill="F3EEEC"/>
          </w:tcPr>
          <w:p>
            <w:pPr>
              <w:spacing w:before="0" w:after="40"/>
            </w:pPr>
            <w:r>
              <w:rPr>
                <w:b/>
                <w:sz w:val="18"/>
              </w:rPr>
              <w:t xml:space="preserve">Duration of pregnancy (weeks)</w:t>
            </w:r>
          </w:p>
        </w:tc>
        <w:tc>
          <w:tcPr>
            <w:tcW w:w="668" w:type="dxa"/>
            <w:shd w:val="clear" w:color="auto" w:fill="F3EEEC"/>
          </w:tcPr>
          <w:p>
            <w:pPr>
              <w:spacing w:before="0" w:after="40"/>
            </w:pPr>
            <w:r>
              <w:rPr>
                <w:b/>
                <w:sz w:val="18"/>
              </w:rPr>
              <w:t xml:space="preserve">Ground / indication (Act s.3)</w:t>
            </w:r>
          </w:p>
        </w:tc>
        <w:tc>
          <w:tcPr>
            <w:tcW w:w="668" w:type="dxa"/>
            <w:shd w:val="clear" w:color="auto" w:fill="F3EEEC"/>
          </w:tcPr>
          <w:p>
            <w:pPr>
              <w:spacing w:before="0" w:after="40"/>
            </w:pPr>
            <w:r>
              <w:rPr>
                <w:b/>
                <w:sz w:val="18"/>
              </w:rPr>
              <w:t xml:space="preserve">Consent — Form C on file</w:t>
            </w:r>
          </w:p>
        </w:tc>
        <w:tc>
          <w:tcPr>
            <w:tcW w:w="668" w:type="dxa"/>
            <w:shd w:val="clear" w:color="auto" w:fill="F3EEEC"/>
          </w:tcPr>
          <w:p>
            <w:pPr>
              <w:spacing w:before="0" w:after="40"/>
            </w:pPr>
            <w:r>
              <w:rPr>
                <w:b/>
                <w:sz w:val="18"/>
              </w:rPr>
              <w:t xml:space="preserve">Opinion — Form I / two RMPs where required</w:t>
            </w:r>
          </w:p>
        </w:tc>
        <w:tc>
          <w:tcPr>
            <w:tcW w:w="668" w:type="dxa"/>
            <w:shd w:val="clear" w:color="auto" w:fill="F3EEEC"/>
          </w:tcPr>
          <w:p>
            <w:pPr>
              <w:spacing w:before="0" w:after="40"/>
            </w:pPr>
            <w:r>
              <w:rPr>
                <w:b/>
                <w:sz w:val="18"/>
              </w:rPr>
              <w:t xml:space="preserve">Date of termination</w:t>
            </w:r>
          </w:p>
        </w:tc>
        <w:tc>
          <w:tcPr>
            <w:tcW w:w="668" w:type="dxa"/>
            <w:shd w:val="clear" w:color="auto" w:fill="F3EEEC"/>
          </w:tcPr>
          <w:p>
            <w:pPr>
              <w:spacing w:before="0" w:after="40"/>
            </w:pPr>
            <w:r>
              <w:rPr>
                <w:b/>
                <w:sz w:val="18"/>
              </w:rPr>
              <w:t xml:space="preserve">Method</w:t>
            </w:r>
          </w:p>
        </w:tc>
        <w:tc>
          <w:tcPr>
            <w:tcW w:w="668" w:type="dxa"/>
            <w:shd w:val="clear" w:color="auto" w:fill="F3EEEC"/>
          </w:tcPr>
          <w:p>
            <w:pPr>
              <w:spacing w:before="0" w:after="40"/>
            </w:pPr>
            <w:r>
              <w:rPr>
                <w:b/>
                <w:sz w:val="18"/>
              </w:rPr>
              <w:t xml:space="preserve">Date of discharge</w:t>
            </w:r>
          </w:p>
        </w:tc>
        <w:tc>
          <w:tcPr>
            <w:tcW w:w="668" w:type="dxa"/>
            <w:shd w:val="clear" w:color="auto" w:fill="F3EEEC"/>
          </w:tcPr>
          <w:p>
            <w:pPr>
              <w:spacing w:before="0" w:after="40"/>
            </w:pPr>
            <w:r>
              <w:rPr>
                <w:b/>
                <w:sz w:val="18"/>
              </w:rPr>
              <w:t xml:space="preserve">RMP(s) name &amp; reg. no.</w:t>
            </w:r>
          </w:p>
        </w:tc>
        <w:tc>
          <w:tcPr>
            <w:tcW w:w="668" w:type="dxa"/>
            <w:shd w:val="clear" w:color="auto" w:fill="F3EEEC"/>
          </w:tcPr>
          <w:p>
            <w:pPr>
              <w:spacing w:before="0" w:after="40"/>
            </w:pPr>
            <w:r>
              <w:rPr>
                <w:b/>
                <w:sz w:val="18"/>
              </w:rPr>
              <w:t xml:space="preserve">Remarks / complications</w:t>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r>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c>
          <w:tcPr>
            <w:tcW w:w="668" w:type="dxa"/>
          </w:tcPr>
          <w:p>
            <w:pPr>
              <w:spacing w:before="0" w:after="40"/>
            </w:pPr>
            <w:r>
              <w:rPr>
                <w:sz w:val="18"/>
                <w:color w:val="6B6360"/>
              </w:rPr>
              <w:t xml:space="preserve"/>
            </w:r>
          </w:p>
        </w:tc>
      </w:tr>
    </w:tbl>
    <w:p>
      <w:pPr>
        <w:pStyle w:val="Heading2"/>
        <w:spacing w:before="200" w:after="80"/>
      </w:pPr>
      <w:r>
        <w:rPr>
          <w:b/>
          <w:sz w:val="24"/>
        </w:rPr>
        <w:t xml:space="preserve">Retention &amp; custody</w:t>
      </w:r>
    </w:p>
    <w:p>
      <w:pPr>
        <w:spacing w:before="0" w:after="60"/>
      </w:pPr>
      <w:r>
        <w:rPr>
          <w:sz w:val="19"/>
        </w:rPr>
        <w:t xml:space="preserve">Register retained for the period the MTP Rules prescribe (five years for the admission register — verify current Rules). Consent (Form C) and the RMP opinion (Form I) filed together against the serial number, in the confidential custody the Rules require.</w:t>
      </w:r>
    </w:p>
    <w:p>
      <w:pPr>
        <w:spacing w:before="0" w:after="60"/>
      </w:pPr>
      <w:r>
        <w:rPr>
          <w:sz w:val="19"/>
        </w:rPr>
        <w:t xml:space="preserve">Head of the approved place responsible for custody: [name · designation].</w:t>
      </w:r>
    </w:p>
    <w:p>
      <w:pPr>
        <w:spacing w:before="240" w:after="80"/>
      </w:pPr>
      <w:r>
        <w:rPr>
          <w:sz w:val="16"/>
          <w:color w:val="8A7F7B"/>
        </w:rPr>
        <w:t xml:space="preserve">Template by MedStream · medstream.in · free to use and adapt for your hospital or clinic. Replace the header with your own letterhead.</w:t>
      </w:r>
    </w:p>
    <w:p>
      <w:r>
        <w:br w:type="page"/>
      </w:r>
    </w:p>
    <w:p>
      <w:pPr>
        <w:pStyle w:val="Heading1"/>
        <w:spacing w:before="0" w:after="60"/>
      </w:pPr>
      <w:r>
        <w:rPr>
          <w:b/>
          <w:sz w:val="32"/>
        </w:rPr>
        <w:t xml:space="preserve">Monthly report worksheet — feeds Form II</w:t>
      </w:r>
    </w:p>
    <w:p>
      <w:pPr>
        <w:spacing w:before="0" w:after="160"/>
      </w:pPr>
      <w:r>
        <w:rPr>
          <w:sz w:val="18"/>
          <w:color w:val="8A7F7B"/>
        </w:rPr>
        <w:t xml:space="preserve">Compile from the admission register at month-end; transfer the totals to the prescribed Form II for submission to the Chief Medical Officer / district authority. A month with no terminations is still reported.</w:t>
      </w:r>
    </w:p>
    <w:p>
      <w:pPr>
        <w:pStyle w:val="Heading2"/>
        <w:spacing w:before="200" w:after="80"/>
      </w:pPr>
      <w:r>
        <w:rPr>
          <w:b/>
          <w:sz w:val="24"/>
        </w:rPr>
        <w:t xml:space="preserve">Reporting period</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400"/>
        <w:gridCol w:w="5960"/>
      </w:tblGrid>
      <w:tr>
        <w:tc>
          <w:tcPr>
            <w:tcW w:w="3400" w:type="dxa"/>
            <w:shd w:val="clear" w:color="auto" w:fill="F3EEEC"/>
          </w:tcPr>
          <w:p>
            <w:pPr>
              <w:spacing w:before="0" w:after="40"/>
            </w:pPr>
            <w:r>
              <w:rPr>
                <w:b/>
                <w:sz w:val="18"/>
              </w:rPr>
              <w:t xml:space="preserve">Approved place — name &amp; approval / registration no.</w:t>
            </w:r>
          </w:p>
        </w:tc>
        <w:tc>
          <w:tcPr>
            <w:tcW w:w="5960" w:type="dxa"/>
          </w:tcPr>
          <w:p>
            <w:pPr>
              <w:spacing w:before="0" w:after="40"/>
            </w:pPr>
            <w:r>
              <w:rPr>
                <w:sz w:val="18"/>
                <w:color w:val="6B6360"/>
              </w:rPr>
              <w:t xml:space="preserve"/>
            </w:r>
          </w:p>
        </w:tc>
      </w:tr>
      <w:tr>
        <w:tc>
          <w:tcPr>
            <w:tcW w:w="3400" w:type="dxa"/>
            <w:shd w:val="clear" w:color="auto" w:fill="F3EEEC"/>
          </w:tcPr>
          <w:p>
            <w:pPr>
              <w:spacing w:before="0" w:after="40"/>
            </w:pPr>
            <w:r>
              <w:rPr>
                <w:b/>
                <w:sz w:val="18"/>
              </w:rPr>
              <w:t xml:space="preserve">Month / year</w:t>
            </w:r>
          </w:p>
        </w:tc>
        <w:tc>
          <w:tcPr>
            <w:tcW w:w="5960" w:type="dxa"/>
          </w:tcPr>
          <w:p>
            <w:pPr>
              <w:spacing w:before="0" w:after="40"/>
            </w:pPr>
            <w:r>
              <w:rPr>
                <w:sz w:val="18"/>
                <w:color w:val="6B6360"/>
              </w:rPr>
              <w:t xml:space="preserve"/>
            </w:r>
          </w:p>
        </w:tc>
      </w:tr>
      <w:tr>
        <w:tc>
          <w:tcPr>
            <w:tcW w:w="3400" w:type="dxa"/>
            <w:shd w:val="clear" w:color="auto" w:fill="F3EEEC"/>
          </w:tcPr>
          <w:p>
            <w:pPr>
              <w:spacing w:before="0" w:after="40"/>
            </w:pPr>
            <w:r>
              <w:rPr>
                <w:b/>
                <w:sz w:val="18"/>
              </w:rPr>
              <w:t xml:space="preserve">Prepared by · date</w:t>
            </w:r>
          </w:p>
        </w:tc>
        <w:tc>
          <w:tcPr>
            <w:tcW w:w="5960" w:type="dxa"/>
          </w:tcPr>
          <w:p>
            <w:pPr>
              <w:spacing w:before="0" w:after="40"/>
            </w:pPr>
            <w:r>
              <w:rPr>
                <w:sz w:val="18"/>
                <w:color w:val="6B6360"/>
              </w:rPr>
              <w:t xml:space="preserve"/>
            </w:r>
          </w:p>
        </w:tc>
      </w:tr>
      <w:tr>
        <w:tc>
          <w:tcPr>
            <w:tcW w:w="3400" w:type="dxa"/>
            <w:shd w:val="clear" w:color="auto" w:fill="F3EEEC"/>
          </w:tcPr>
          <w:p>
            <w:pPr>
              <w:spacing w:before="0" w:after="40"/>
            </w:pPr>
            <w:r>
              <w:rPr>
                <w:b/>
                <w:sz w:val="18"/>
              </w:rPr>
              <w:t xml:space="preserve">Submitted to · date · acknowledgement no.</w:t>
            </w:r>
          </w:p>
        </w:tc>
        <w:tc>
          <w:tcPr>
            <w:tcW w:w="5960" w:type="dxa"/>
          </w:tcPr>
          <w:p>
            <w:pPr>
              <w:spacing w:before="0" w:after="40"/>
            </w:pPr>
            <w:r>
              <w:rPr>
                <w:sz w:val="18"/>
                <w:color w:val="6B6360"/>
              </w:rPr>
              <w:t xml:space="preserve"/>
            </w:r>
          </w:p>
        </w:tc>
      </w:tr>
    </w:tbl>
    <w:p>
      <w:pPr>
        <w:pStyle w:val="Heading2"/>
        <w:spacing w:before="200" w:after="80"/>
      </w:pPr>
      <w:r>
        <w:rPr>
          <w:b/>
          <w:sz w:val="24"/>
        </w:rPr>
        <w:t xml:space="preserve">Terminations this month — by duration of pregnancy</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80" w:type="dxa"/>
          <w:right w:w="80" w:type="dxa"/>
        </w:tblCellMar>
      </w:tblPr>
      <w:tblGrid>
        <w:gridCol w:w="2340"/>
        <w:gridCol w:w="2340"/>
        <w:gridCol w:w="2340"/>
        <w:gridCol w:w="2340"/>
      </w:tblGrid>
      <w:tr>
        <w:tc>
          <w:tcPr>
            <w:tcW w:w="2340" w:type="dxa"/>
            <w:shd w:val="clear" w:color="auto" w:fill="F3EEEC"/>
          </w:tcPr>
          <w:p>
            <w:pPr>
              <w:spacing w:before="0" w:after="40"/>
            </w:pPr>
            <w:r>
              <w:rPr>
                <w:b/>
                <w:sz w:val="18"/>
              </w:rPr>
              <w:t xml:space="preserve">Duration</w:t>
            </w:r>
          </w:p>
        </w:tc>
        <w:tc>
          <w:tcPr>
            <w:tcW w:w="2340" w:type="dxa"/>
            <w:shd w:val="clear" w:color="auto" w:fill="F3EEEC"/>
          </w:tcPr>
          <w:p>
            <w:pPr>
              <w:spacing w:before="0" w:after="40"/>
            </w:pPr>
            <w:r>
              <w:rPr>
                <w:b/>
                <w:sz w:val="18"/>
              </w:rPr>
              <w:t xml:space="preserve">Number</w:t>
            </w:r>
          </w:p>
        </w:tc>
        <w:tc>
          <w:tcPr>
            <w:tcW w:w="2340" w:type="dxa"/>
            <w:shd w:val="clear" w:color="auto" w:fill="F3EEEC"/>
          </w:tcPr>
          <w:p>
            <w:pPr>
              <w:spacing w:before="0" w:after="40"/>
            </w:pPr>
            <w:r>
              <w:rPr>
                <w:b/>
                <w:sz w:val="18"/>
              </w:rPr>
              <w:t xml:space="preserve">Method(s) used</w:t>
            </w:r>
          </w:p>
        </w:tc>
        <w:tc>
          <w:tcPr>
            <w:tcW w:w="2340" w:type="dxa"/>
            <w:shd w:val="clear" w:color="auto" w:fill="F3EEEC"/>
          </w:tcPr>
          <w:p>
            <w:pPr>
              <w:spacing w:before="0" w:after="40"/>
            </w:pPr>
            <w:r>
              <w:rPr>
                <w:b/>
                <w:sz w:val="18"/>
              </w:rPr>
              <w:t xml:space="preserve">Notes</w:t>
            </w:r>
          </w:p>
        </w:tc>
      </w:tr>
      <w:tr>
        <w:tc>
          <w:tcPr>
            <w:tcW w:w="2340" w:type="dxa"/>
          </w:tcPr>
          <w:p>
            <w:pPr>
              <w:spacing w:before="0" w:after="40"/>
            </w:pPr>
            <w:r>
              <w:rPr>
                <w:sz w:val="18"/>
                <w:color w:val="6B6360"/>
              </w:rPr>
              <w:t xml:space="preserve">Up to 12 weeks</w:t>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r>
      <w:tr>
        <w:tc>
          <w:tcPr>
            <w:tcW w:w="2340" w:type="dxa"/>
          </w:tcPr>
          <w:p>
            <w:pPr>
              <w:spacing w:before="0" w:after="40"/>
            </w:pPr>
            <w:r>
              <w:rPr>
                <w:sz w:val="18"/>
                <w:color w:val="6B6360"/>
              </w:rPr>
              <w:t xml:space="preserve">12–20 weeks</w:t>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r>
      <w:tr>
        <w:tc>
          <w:tcPr>
            <w:tcW w:w="2340" w:type="dxa"/>
          </w:tcPr>
          <w:p>
            <w:pPr>
              <w:spacing w:before="0" w:after="40"/>
            </w:pPr>
            <w:r>
              <w:rPr>
                <w:sz w:val="18"/>
                <w:color w:val="6B6360"/>
              </w:rPr>
              <w:t xml:space="preserve">20–24 weeks (special categories under the 2021 amendment — two RMP opinions)</w:t>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r>
      <w:tr>
        <w:tc>
          <w:tcPr>
            <w:tcW w:w="2340" w:type="dxa"/>
          </w:tcPr>
          <w:p>
            <w:pPr>
              <w:spacing w:before="0" w:after="40"/>
            </w:pPr>
            <w:r>
              <w:rPr>
                <w:sz w:val="18"/>
                <w:color w:val="6B6360"/>
              </w:rPr>
              <w:t xml:space="preserve">Beyond 24 weeks (Medical Board — Form D)</w:t>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r>
      <w:tr>
        <w:tc>
          <w:tcPr>
            <w:tcW w:w="2340" w:type="dxa"/>
          </w:tcPr>
          <w:p>
            <w:pPr>
              <w:spacing w:before="0" w:after="40"/>
            </w:pPr>
            <w:r>
              <w:rPr>
                <w:sz w:val="18"/>
                <w:color w:val="6B6360"/>
              </w:rPr>
              <w:t xml:space="preserve">Total</w:t>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c>
          <w:tcPr>
            <w:tcW w:w="2340" w:type="dxa"/>
          </w:tcPr>
          <w:p>
            <w:pPr>
              <w:spacing w:before="0" w:after="40"/>
            </w:pPr>
            <w:r>
              <w:rPr>
                <w:sz w:val="18"/>
                <w:color w:val="6B6360"/>
              </w:rPr>
              <w:t xml:space="preserve"/>
            </w:r>
          </w:p>
        </w:tc>
      </w:tr>
    </w:tbl>
    <w:p>
      <w:pPr>
        <w:pStyle w:val="Heading2"/>
        <w:spacing w:before="200" w:after="80"/>
      </w:pPr>
      <w:r>
        <w:rPr>
          <w:b/>
          <w:sz w:val="24"/>
        </w:rPr>
        <w:t xml:space="preserve">Terminations this month — by ground under section 3</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80" w:type="dxa"/>
          <w:right w:w="80" w:type="dxa"/>
        </w:tblCellMar>
      </w:tblPr>
      <w:tblGrid>
        <w:gridCol w:w="4680"/>
        <w:gridCol w:w="4680"/>
      </w:tblGrid>
      <w:tr>
        <w:tc>
          <w:tcPr>
            <w:tcW w:w="4680" w:type="dxa"/>
            <w:shd w:val="clear" w:color="auto" w:fill="F3EEEC"/>
          </w:tcPr>
          <w:p>
            <w:pPr>
              <w:spacing w:before="0" w:after="40"/>
            </w:pPr>
            <w:r>
              <w:rPr>
                <w:b/>
                <w:sz w:val="18"/>
              </w:rPr>
              <w:t xml:space="preserve">Ground</w:t>
            </w:r>
          </w:p>
        </w:tc>
        <w:tc>
          <w:tcPr>
            <w:tcW w:w="4680" w:type="dxa"/>
            <w:shd w:val="clear" w:color="auto" w:fill="F3EEEC"/>
          </w:tcPr>
          <w:p>
            <w:pPr>
              <w:spacing w:before="0" w:after="40"/>
            </w:pPr>
            <w:r>
              <w:rPr>
                <w:b/>
                <w:sz w:val="18"/>
              </w:rPr>
              <w:t xml:space="preserve">Number</w:t>
            </w:r>
          </w:p>
        </w:tc>
      </w:tr>
      <w:tr>
        <w:tc>
          <w:tcPr>
            <w:tcW w:w="4680" w:type="dxa"/>
          </w:tcPr>
          <w:p>
            <w:pPr>
              <w:spacing w:before="0" w:after="40"/>
            </w:pPr>
            <w:r>
              <w:rPr>
                <w:sz w:val="18"/>
                <w:color w:val="6B6360"/>
              </w:rPr>
              <w:t xml:space="preserve">Risk to the life / physical or mental health of the woman</w:t>
            </w:r>
          </w:p>
        </w:tc>
        <w:tc>
          <w:tcPr>
            <w:tcW w:w="4680" w:type="dxa"/>
          </w:tcPr>
          <w:p>
            <w:pPr>
              <w:spacing w:before="0" w:after="40"/>
            </w:pPr>
            <w:r>
              <w:rPr>
                <w:sz w:val="18"/>
                <w:color w:val="6B6360"/>
              </w:rPr>
              <w:t xml:space="preserve"/>
            </w:r>
          </w:p>
        </w:tc>
      </w:tr>
      <w:tr>
        <w:tc>
          <w:tcPr>
            <w:tcW w:w="4680" w:type="dxa"/>
          </w:tcPr>
          <w:p>
            <w:pPr>
              <w:spacing w:before="0" w:after="40"/>
            </w:pPr>
            <w:r>
              <w:rPr>
                <w:sz w:val="18"/>
                <w:color w:val="6B6360"/>
              </w:rPr>
              <w:t xml:space="preserve">Substantial risk of serious physical or mental abnormality in the child</w:t>
            </w:r>
          </w:p>
        </w:tc>
        <w:tc>
          <w:tcPr>
            <w:tcW w:w="4680" w:type="dxa"/>
          </w:tcPr>
          <w:p>
            <w:pPr>
              <w:spacing w:before="0" w:after="40"/>
            </w:pPr>
            <w:r>
              <w:rPr>
                <w:sz w:val="18"/>
                <w:color w:val="6B6360"/>
              </w:rPr>
              <w:t xml:space="preserve"/>
            </w:r>
          </w:p>
        </w:tc>
      </w:tr>
      <w:tr>
        <w:tc>
          <w:tcPr>
            <w:tcW w:w="4680" w:type="dxa"/>
          </w:tcPr>
          <w:p>
            <w:pPr>
              <w:spacing w:before="0" w:after="40"/>
            </w:pPr>
            <w:r>
              <w:rPr>
                <w:sz w:val="18"/>
                <w:color w:val="6B6360"/>
              </w:rPr>
              <w:t xml:space="preserve">Pregnancy from rape / failure of contraceptive (as the Act provides)</w:t>
            </w:r>
          </w:p>
        </w:tc>
        <w:tc>
          <w:tcPr>
            <w:tcW w:w="4680" w:type="dxa"/>
          </w:tcPr>
          <w:p>
            <w:pPr>
              <w:spacing w:before="0" w:after="40"/>
            </w:pPr>
            <w:r>
              <w:rPr>
                <w:sz w:val="18"/>
                <w:color w:val="6B6360"/>
              </w:rPr>
              <w:t xml:space="preserve"/>
            </w:r>
          </w:p>
        </w:tc>
      </w:tr>
      <w:tr>
        <w:tc>
          <w:tcPr>
            <w:tcW w:w="4680" w:type="dxa"/>
          </w:tcPr>
          <w:p>
            <w:pPr>
              <w:spacing w:before="0" w:after="40"/>
            </w:pPr>
            <w:r>
              <w:rPr>
                <w:sz w:val="18"/>
                <w:color w:val="6B6360"/>
              </w:rPr>
              <w:t xml:space="preserve">Other (specify)</w:t>
            </w:r>
          </w:p>
        </w:tc>
        <w:tc>
          <w:tcPr>
            <w:tcW w:w="4680" w:type="dxa"/>
          </w:tcPr>
          <w:p>
            <w:pPr>
              <w:spacing w:before="0" w:after="40"/>
            </w:pPr>
            <w:r>
              <w:rPr>
                <w:sz w:val="18"/>
                <w:color w:val="6B6360"/>
              </w:rPr>
              <w:t xml:space="preserve"/>
            </w:r>
          </w:p>
        </w:tc>
      </w:tr>
      <w:tr>
        <w:tc>
          <w:tcPr>
            <w:tcW w:w="4680" w:type="dxa"/>
          </w:tcPr>
          <w:p>
            <w:pPr>
              <w:spacing w:before="0" w:after="40"/>
            </w:pPr>
            <w:r>
              <w:rPr>
                <w:sz w:val="18"/>
                <w:color w:val="6B6360"/>
              </w:rPr>
              <w:t xml:space="preserve">Total (must equal the duration total)</w:t>
            </w:r>
          </w:p>
        </w:tc>
        <w:tc>
          <w:tcPr>
            <w:tcW w:w="4680" w:type="dxa"/>
          </w:tcPr>
          <w:p>
            <w:pPr>
              <w:spacing w:before="0" w:after="40"/>
            </w:pPr>
            <w:r>
              <w:rPr>
                <w:sz w:val="18"/>
                <w:color w:val="6B6360"/>
              </w:rPr>
              <w:t xml:space="preserve"/>
            </w:r>
          </w:p>
        </w:tc>
      </w:tr>
    </w:tbl>
    <w:p>
      <w:pPr>
        <w:pStyle w:val="Heading2"/>
        <w:spacing w:before="200" w:after="80"/>
      </w:pPr>
      <w:r>
        <w:rPr>
          <w:b/>
          <w:sz w:val="24"/>
        </w:rPr>
        <w:t xml:space="preserve">Reconciliation checks before submission</w:t>
      </w:r>
    </w:p>
    <w:p>
      <w:pPr>
        <w:spacing w:before="0" w:after="60"/>
      </w:pPr>
      <w:r>
        <w:rPr>
          <w:sz w:val="19"/>
        </w:rPr>
        <w:t xml:space="preserve">☐ Total equals the number of register entries for the month   ☐ Every entry has Form C and Form I on file   ☐ 20–24 week cases have two RMP opinions   ☐ Complications / deaths recorded and reported as required   ☐ Nil report prepared if zero cases</w:t>
      </w:r>
    </w:p>
    <w:p>
      <w:pPr>
        <w:spacing w:before="240" w:after="80"/>
      </w:pPr>
      <w:r>
        <w:rPr>
          <w:sz w:val="16"/>
          <w:color w:val="8A7F7B"/>
        </w:rPr>
        <w:t xml:space="preserve">Template by MedStream · medstream.in · free to use and adapt for your hospital or clinic. Replace the header with your own letterhead.</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0"/>
      </w:rPr>
    </w:rPrDefault>
  </w:docDefaults>
  <w:style w:type="paragraph" w:default="1" w:styleId="Normal">
    <w:name w:val="Normal"/>
  </w:style>
  <w:style w:type="paragraph" w:styleId="Heading1">
    <w:name w:val="heading 1"/>
    <w:basedOn w:val="Normal"/>
    <w:pPr>
      <w:outlineLvl w:val="0"/>
    </w:pPr>
    <w:rPr>
      <w:b/>
      <w:sz w:val="32"/>
    </w:rPr>
  </w:style>
  <w:style w:type="paragraph" w:styleId="Heading2">
    <w:name w:val="heading 2"/>
    <w:basedOn w:val="Normal"/>
    <w:pPr>
      <w:outlineLvl w:val="1"/>
    </w:pPr>
    <w:rPr>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MedStream</Application>
</Properties>
</file>

<file path=docProps/core.xml><?xml version="1.0" encoding="utf-8"?>
<cp:coreProperties xmlns:cp="http://schemas.openxmlformats.org/package/2006/metadata/core-properties" xmlns:dc="http://purl.org/dc/elements/1.1/" xmlns:dcterms="http://purl.org/dc/terms/" xmlns:xsi="http://www.w3.org/2001/XMLSchema-instance">
  <dc:title>MTP admission register (Form III layout) and monthly report worksheet (Form II) — templates</dc:title>
  <dc:creator>MedStream Software Solutions</dc:creator>
  <dcterms:created xsi:type="dcterms:W3CDTF">2026-09-15T00:00:00Z</dcterms:created>
</cp:coreProperties>
</file>